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2403C9B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1016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D43BE8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E9F8441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43BE8" w:rsidRPr="00D43BE8">
        <w:rPr>
          <w:rFonts w:asciiTheme="minorHAnsi" w:hAnsiTheme="minorHAnsi" w:cs="Arial"/>
          <w:sz w:val="28"/>
          <w:szCs w:val="28"/>
        </w:rPr>
        <w:t>MEINWASGAU – Digitaler Bonus-Club mit Herz(en)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3C03198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74C9F" w:rsidRPr="00374C9F">
        <w:rPr>
          <w:rFonts w:asciiTheme="minorHAnsi" w:hAnsiTheme="minorHAnsi" w:cstheme="minorHAnsi"/>
          <w:bCs/>
          <w:sz w:val="28"/>
          <w:szCs w:val="28"/>
        </w:rPr>
        <w:t>Ambroise Forssman-Trevedy, Vorstandssprecher von WASGAU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74C9F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2</cp:revision>
  <dcterms:created xsi:type="dcterms:W3CDTF">2023-10-10T06:51:00Z</dcterms:created>
  <dcterms:modified xsi:type="dcterms:W3CDTF">2023-10-10T06:51:00Z</dcterms:modified>
</cp:coreProperties>
</file>