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38D43B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7007F4">
        <w:rPr>
          <w:rFonts w:asciiTheme="minorHAnsi" w:hAnsiTheme="minorHAnsi" w:cs="Arial"/>
          <w:sz w:val="28"/>
          <w:szCs w:val="28"/>
        </w:rPr>
        <w:t>123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7007F4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1E9EB580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7007F4" w:rsidRPr="007007F4">
        <w:rPr>
          <w:rFonts w:asciiTheme="minorHAnsi" w:hAnsiTheme="minorHAnsi" w:cs="Arial"/>
          <w:sz w:val="28"/>
          <w:szCs w:val="28"/>
        </w:rPr>
        <w:t>WASGAU trauert um ehemaligen Vorstand Frank Grüber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A1F4D0F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846E9" w:rsidRPr="00B846E9">
        <w:rPr>
          <w:rFonts w:asciiTheme="minorHAnsi" w:hAnsiTheme="minorHAnsi" w:cstheme="minorHAnsi"/>
          <w:bCs/>
          <w:sz w:val="28"/>
          <w:szCs w:val="28"/>
        </w:rPr>
        <w:t>WASGAU-Logo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7</cp:revision>
  <dcterms:created xsi:type="dcterms:W3CDTF">2022-06-02T11:57:00Z</dcterms:created>
  <dcterms:modified xsi:type="dcterms:W3CDTF">2023-01-23T13:26:00Z</dcterms:modified>
</cp:coreProperties>
</file>