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436EB59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7007F4">
        <w:rPr>
          <w:rFonts w:asciiTheme="minorHAnsi" w:hAnsiTheme="minorHAnsi" w:cs="Arial"/>
          <w:sz w:val="28"/>
          <w:szCs w:val="28"/>
        </w:rPr>
        <w:t>123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91BDB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E9EB580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7007F4" w:rsidRPr="007007F4">
        <w:rPr>
          <w:rFonts w:asciiTheme="minorHAnsi" w:hAnsiTheme="minorHAnsi" w:cs="Arial"/>
          <w:sz w:val="28"/>
          <w:szCs w:val="28"/>
        </w:rPr>
        <w:t>WASGAU trauert um ehemaligen Vorstand Frank Grüber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7B1ACB9A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91BDB">
        <w:rPr>
          <w:rFonts w:asciiTheme="minorHAnsi" w:hAnsiTheme="minorHAnsi" w:cstheme="minorHAnsi"/>
          <w:bCs/>
          <w:sz w:val="28"/>
          <w:szCs w:val="28"/>
        </w:rPr>
        <w:t>Frank Grüber, ehemaliger Vorstand WASGAU Produktions &amp; Handels AG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91BDB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2023-01-23T13:26:00Z</dcterms:created>
  <dcterms:modified xsi:type="dcterms:W3CDTF">2023-01-23T13:26:00Z</dcterms:modified>
</cp:coreProperties>
</file>