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4CDE643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0B2E6C">
        <w:rPr>
          <w:rFonts w:asciiTheme="minorHAnsi" w:hAnsiTheme="minorHAnsi" w:cs="Arial"/>
          <w:sz w:val="28"/>
          <w:szCs w:val="28"/>
        </w:rPr>
        <w:t>802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4356D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3091CB8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0B2E6C" w:rsidRPr="000B2E6C">
        <w:rPr>
          <w:rFonts w:asciiTheme="minorHAnsi" w:hAnsiTheme="minorHAnsi" w:cs="Arial"/>
          <w:sz w:val="28"/>
          <w:szCs w:val="28"/>
        </w:rPr>
        <w:t>Karriere in Sicht: Azubitag 2022 bei WASGAU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0F90BF8D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 w:rsidRPr="000B2E6C">
        <w:rPr>
          <w:rFonts w:asciiTheme="minorHAnsi" w:hAnsiTheme="minorHAnsi" w:cs="Arial"/>
          <w:sz w:val="28"/>
          <w:szCs w:val="28"/>
        </w:rPr>
        <w:t>Dieter Leyenberger, Leiter Personalentwicklung WASGAU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10</cp:revision>
  <dcterms:created xsi:type="dcterms:W3CDTF">2022-05-03T11:14:00Z</dcterms:created>
  <dcterms:modified xsi:type="dcterms:W3CDTF">2022-08-02T10:24:00Z</dcterms:modified>
</cp:coreProperties>
</file>