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34C30C2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60171C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FAC3DAE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512DA0" w:rsidRPr="00512DA0">
        <w:rPr>
          <w:rFonts w:asciiTheme="minorHAnsi" w:hAnsiTheme="minorHAnsi" w:cs="Arial"/>
          <w:sz w:val="28"/>
          <w:szCs w:val="28"/>
        </w:rPr>
        <w:t>Neue WASGAU Webseite setzt klaren Kundenfokus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5B729798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12DA0">
        <w:rPr>
          <w:rFonts w:asciiTheme="minorHAnsi" w:hAnsiTheme="minorHAnsi" w:cs="Arial"/>
          <w:sz w:val="28"/>
          <w:szCs w:val="28"/>
        </w:rPr>
        <w:t>Screenshot der neuen Webseite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0171C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10</cp:revision>
  <dcterms:created xsi:type="dcterms:W3CDTF">2021-06-23T11:58:00Z</dcterms:created>
  <dcterms:modified xsi:type="dcterms:W3CDTF">2021-09-07T14:14:00Z</dcterms:modified>
</cp:coreProperties>
</file>