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81AD1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4B650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650D" w:rsidRPr="004B650D">
        <w:rPr>
          <w:rFonts w:asciiTheme="minorHAnsi" w:hAnsiTheme="minorHAnsi" w:cs="Arial"/>
          <w:sz w:val="28"/>
          <w:szCs w:val="28"/>
        </w:rPr>
        <w:t xml:space="preserve">Kathrin Hegner vom Weingut Reichsgraf von Kesselstatt aus Morscheid freut sich über eine gut besuchte </w:t>
      </w:r>
      <w:bookmarkStart w:id="0" w:name="_GoBack"/>
      <w:bookmarkEnd w:id="0"/>
      <w:r w:rsidR="004B650D" w:rsidRPr="004B650D">
        <w:rPr>
          <w:rFonts w:asciiTheme="minorHAnsi" w:hAnsiTheme="minorHAnsi" w:cs="Arial"/>
          <w:sz w:val="28"/>
          <w:szCs w:val="28"/>
        </w:rPr>
        <w:t>WASGAU Weinmesse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D5985"/>
    <w:rsid w:val="004B650D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DBE4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2019-10-14T15:14:00Z</dcterms:created>
  <dcterms:modified xsi:type="dcterms:W3CDTF">2019-10-14T15:15:00Z</dcterms:modified>
</cp:coreProperties>
</file>