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660AF1">
        <w:rPr>
          <w:rFonts w:asciiTheme="minorHAnsi" w:hAnsiTheme="minorHAnsi" w:cs="Arial"/>
          <w:sz w:val="28"/>
          <w:szCs w:val="28"/>
        </w:rPr>
        <w:t>1002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C2621D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660AF1" w:rsidRPr="00660AF1">
        <w:rPr>
          <w:rFonts w:asciiTheme="minorHAnsi" w:hAnsiTheme="minorHAnsi" w:cs="Arial"/>
          <w:sz w:val="28"/>
          <w:szCs w:val="28"/>
        </w:rPr>
        <w:t>Aktiver Einsatz für regionale Tafeln: „Kauf eins mehr“ bei WASGAU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660AF1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10EF0" w:rsidRPr="00E10EF0">
        <w:rPr>
          <w:rFonts w:asciiTheme="minorHAnsi" w:hAnsiTheme="minorHAnsi" w:cs="Arial"/>
          <w:sz w:val="28"/>
          <w:szCs w:val="28"/>
        </w:rPr>
        <w:t>„Kauf eins mehr“-Aktion in den WASGAU Frischemärkten und C+C-Märkten vom 7. bis 19. Oktober 2019 – Aktionsplakat</w:t>
      </w:r>
      <w:r w:rsidR="00E10EF0">
        <w:rPr>
          <w:rFonts w:asciiTheme="minorHAnsi" w:hAnsiTheme="minorHAnsi" w:cs="Arial"/>
          <w:sz w:val="28"/>
          <w:szCs w:val="28"/>
        </w:rPr>
        <w:t xml:space="preserve"> WASGAU </w:t>
      </w:r>
      <w:r w:rsidR="00C2621D">
        <w:rPr>
          <w:rFonts w:asciiTheme="minorHAnsi" w:hAnsiTheme="minorHAnsi" w:cs="Arial"/>
          <w:sz w:val="28"/>
          <w:szCs w:val="28"/>
        </w:rPr>
        <w:t>C+C Märkte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60AF1"/>
    <w:rsid w:val="00682B72"/>
    <w:rsid w:val="006B2701"/>
    <w:rsid w:val="006D3E4B"/>
    <w:rsid w:val="0072389D"/>
    <w:rsid w:val="00772545"/>
    <w:rsid w:val="007730A2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2621D"/>
    <w:rsid w:val="00C74ED6"/>
    <w:rsid w:val="00C76FEA"/>
    <w:rsid w:val="00CB4BF2"/>
    <w:rsid w:val="00CF1AF8"/>
    <w:rsid w:val="00D767BB"/>
    <w:rsid w:val="00DC40C6"/>
    <w:rsid w:val="00E10EF0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90D416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730A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730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2019-10-02T11:34:00Z</dcterms:created>
  <dcterms:modified xsi:type="dcterms:W3CDTF">2019-10-02T11:35:00Z</dcterms:modified>
</cp:coreProperties>
</file>