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</w:t>
      </w:r>
      <w:r w:rsidR="00CF75BC">
        <w:rPr>
          <w:rFonts w:asciiTheme="minorHAnsi" w:hAnsiTheme="minorHAnsi" w:cs="Arial"/>
          <w:sz w:val="28"/>
          <w:szCs w:val="28"/>
        </w:rPr>
        <w:t>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F75BC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F75BC" w:rsidRPr="00CF75BC">
        <w:rPr>
          <w:rFonts w:asciiTheme="minorHAnsi" w:hAnsiTheme="minorHAnsi" w:cs="Arial"/>
          <w:sz w:val="28"/>
          <w:szCs w:val="28"/>
        </w:rPr>
        <w:t>Bunter Lebensraum für Wildbienen, Schmetterlinge &amp; Co.: WASGAU lässt Wiesen blühen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50CDB" w:rsidRPr="00050CDB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CF75BC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BEB6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2017-08-28T09:43:00Z</dcterms:created>
  <dcterms:modified xsi:type="dcterms:W3CDTF">2019-08-20T07:00:00Z</dcterms:modified>
</cp:coreProperties>
</file>