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D35C0D">
        <w:rPr>
          <w:rFonts w:asciiTheme="minorHAnsi" w:hAnsiTheme="minorHAnsi" w:cs="Arial"/>
          <w:sz w:val="28"/>
          <w:szCs w:val="28"/>
        </w:rPr>
        <w:t>605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35C0D" w:rsidRPr="00D35C0D">
        <w:rPr>
          <w:rFonts w:asciiTheme="minorHAnsi" w:hAnsiTheme="minorHAnsi" w:cs="Arial"/>
          <w:sz w:val="28"/>
          <w:szCs w:val="28"/>
        </w:rPr>
        <w:t>2. Nachhaltigkeitswoche bei WASGAU: Aus der Region für die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35C0D" w:rsidRPr="00D35C0D">
        <w:rPr>
          <w:rFonts w:asciiTheme="minorHAnsi" w:hAnsiTheme="minorHAnsi" w:cs="Arial"/>
          <w:sz w:val="28"/>
          <w:szCs w:val="28"/>
        </w:rPr>
        <w:t>Poster WASGAU Nachhaltigkeitswoche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35C0D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81C6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2017-08-28T09:43:00Z</dcterms:created>
  <dcterms:modified xsi:type="dcterms:W3CDTF">2019-06-05T07:23:00Z</dcterms:modified>
</cp:coreProperties>
</file>