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052</w:t>
      </w:r>
      <w:r w:rsidR="00212E94">
        <w:rPr>
          <w:rFonts w:asciiTheme="minorHAnsi" w:hAnsiTheme="minorHAnsi" w:cs="Arial"/>
          <w:sz w:val="28"/>
          <w:szCs w:val="28"/>
        </w:rPr>
        <w:t>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4935C4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12E94" w:rsidRPr="00212E94">
        <w:rPr>
          <w:rFonts w:asciiTheme="minorHAnsi" w:hAnsiTheme="minorHAnsi" w:cs="Arial"/>
          <w:sz w:val="28"/>
          <w:szCs w:val="28"/>
        </w:rPr>
        <w:t>Ein „sauberer“ Gewinn für Kundin und Umwelt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935C4" w:rsidRPr="004935C4">
        <w:rPr>
          <w:rFonts w:asciiTheme="minorHAnsi" w:hAnsiTheme="minorHAnsi" w:cs="Arial"/>
          <w:sz w:val="28"/>
          <w:szCs w:val="28"/>
        </w:rPr>
        <w:t>Logo WASGAU 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1BA1"/>
    <w:rsid w:val="003D5985"/>
    <w:rsid w:val="004935C4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AAE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2019-05-28T07:44:00Z</dcterms:created>
  <dcterms:modified xsi:type="dcterms:W3CDTF">2019-05-28T07:45:00Z</dcterms:modified>
</cp:coreProperties>
</file>