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0A7A46">
        <w:rPr>
          <w:rFonts w:asciiTheme="minorHAnsi" w:hAnsiTheme="minorHAnsi" w:cs="Arial"/>
          <w:sz w:val="28"/>
          <w:szCs w:val="28"/>
        </w:rPr>
        <w:t>1120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0A7A46" w:rsidRPr="000A7A46">
        <w:rPr>
          <w:rFonts w:asciiTheme="minorHAnsi" w:hAnsiTheme="minorHAnsi" w:cs="Arial"/>
          <w:sz w:val="28"/>
          <w:szCs w:val="28"/>
        </w:rPr>
        <w:t>Chef + Competence Academy bietet frische Ideen für Gastronomen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Impression aus der WASGAU Chef + Competence Academy (C+C Academy)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</w:t>
      </w:r>
      <w:bookmarkStart w:id="0" w:name="_GoBack"/>
      <w:bookmarkEnd w:id="0"/>
      <w:r w:rsidR="00611A4F" w:rsidRPr="00611A4F">
        <w:rPr>
          <w:rFonts w:asciiTheme="minorHAnsi" w:hAnsiTheme="minorHAnsi" w:cs="Arial"/>
          <w:sz w:val="28"/>
          <w:szCs w:val="28"/>
        </w:rPr>
        <w:t>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6429E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2018-10-30T14:59:00Z</dcterms:created>
  <dcterms:modified xsi:type="dcterms:W3CDTF">2018-10-30T15:04:00Z</dcterms:modified>
</cp:coreProperties>
</file>