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1011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302BC9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Pr="008A71D3">
        <w:rPr>
          <w:rFonts w:asciiTheme="minorHAnsi" w:hAnsiTheme="minorHAnsi" w:cs="Arial"/>
          <w:sz w:val="28"/>
          <w:szCs w:val="28"/>
        </w:rPr>
        <w:t>Erfolgreicher Relaunch der WASGAU Marken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02BC9">
        <w:rPr>
          <w:rFonts w:asciiTheme="minorHAnsi" w:hAnsiTheme="minorHAnsi" w:cs="Arial"/>
          <w:sz w:val="28"/>
          <w:szCs w:val="28"/>
        </w:rPr>
        <w:t xml:space="preserve">Logo </w:t>
      </w:r>
      <w:r w:rsidR="00302BC9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302BC9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302BC9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02BC9"/>
    <w:rsid w:val="00360D3D"/>
    <w:rsid w:val="00371BA1"/>
    <w:rsid w:val="003D5985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A87C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2018-09-18T07:05:00Z</dcterms:created>
  <dcterms:modified xsi:type="dcterms:W3CDTF">2018-10-11T07:46:00Z</dcterms:modified>
</cp:coreProperties>
</file>