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0D0C7C">
        <w:rPr>
          <w:rFonts w:asciiTheme="minorHAnsi" w:hAnsiTheme="minorHAnsi" w:cs="Arial"/>
          <w:sz w:val="28"/>
          <w:szCs w:val="28"/>
        </w:rPr>
        <w:t>514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8572A7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0D0C7C" w:rsidRPr="000D0C7C">
        <w:rPr>
          <w:rFonts w:asciiTheme="minorHAnsi" w:hAnsiTheme="minorHAnsi" w:cs="Arial"/>
          <w:sz w:val="28"/>
          <w:szCs w:val="28"/>
        </w:rPr>
        <w:t>Bundes- und Landessieg für WASGAU Märkte beim Deutschen Frucht Preis 2018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2A7"/>
    <w:rsid w:val="00857C16"/>
    <w:rsid w:val="0088456D"/>
    <w:rsid w:val="00897467"/>
    <w:rsid w:val="008E56EB"/>
    <w:rsid w:val="008F6BF2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50ABE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2017-09-22T12:59:00Z</dcterms:created>
  <dcterms:modified xsi:type="dcterms:W3CDTF">2018-05-14T08:18:00Z</dcterms:modified>
</cp:coreProperties>
</file>